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44" w:rsidRPr="005C6E56" w:rsidRDefault="00993D44" w:rsidP="005C6E56">
      <w:pPr>
        <w:widowControl/>
        <w:spacing w:before="1050" w:after="100" w:afterAutospacing="1" w:line="450" w:lineRule="atLeast"/>
        <w:jc w:val="center"/>
        <w:outlineLvl w:val="1"/>
        <w:rPr>
          <w:rFonts w:ascii="宋体" w:hAnsi="宋体" w:cs="宋体"/>
          <w:b/>
          <w:bCs/>
          <w:color w:val="000000"/>
          <w:kern w:val="36"/>
          <w:sz w:val="30"/>
          <w:szCs w:val="30"/>
        </w:rPr>
      </w:pPr>
      <w:r w:rsidRPr="005C6E56">
        <w:rPr>
          <w:rFonts w:ascii="宋体" w:hAnsi="宋体" w:cs="宋体" w:hint="eastAsia"/>
          <w:b/>
          <w:bCs/>
          <w:color w:val="000000"/>
          <w:kern w:val="36"/>
          <w:sz w:val="30"/>
          <w:szCs w:val="30"/>
        </w:rPr>
        <w:t>给科研人员</w:t>
      </w:r>
      <w:r w:rsidRPr="005C6E56">
        <w:rPr>
          <w:rFonts w:ascii="宋体" w:cs="宋体" w:hint="eastAsia"/>
          <w:b/>
          <w:bCs/>
          <w:color w:val="000000"/>
          <w:kern w:val="36"/>
          <w:sz w:val="30"/>
          <w:szCs w:val="30"/>
        </w:rPr>
        <w:t>“</w:t>
      </w:r>
      <w:r w:rsidRPr="005C6E56">
        <w:rPr>
          <w:rFonts w:ascii="宋体" w:hAnsi="宋体" w:cs="宋体" w:hint="eastAsia"/>
          <w:b/>
          <w:bCs/>
          <w:color w:val="000000"/>
          <w:kern w:val="36"/>
          <w:sz w:val="30"/>
          <w:szCs w:val="30"/>
        </w:rPr>
        <w:t>松绑</w:t>
      </w:r>
      <w:r w:rsidRPr="005C6E56">
        <w:rPr>
          <w:rFonts w:ascii="宋体" w:cs="宋体" w:hint="eastAsia"/>
          <w:b/>
          <w:bCs/>
          <w:color w:val="000000"/>
          <w:kern w:val="36"/>
          <w:sz w:val="30"/>
          <w:szCs w:val="30"/>
        </w:rPr>
        <w:t>”“</w:t>
      </w:r>
      <w:r w:rsidRPr="005C6E56">
        <w:rPr>
          <w:rFonts w:ascii="宋体" w:hAnsi="宋体" w:cs="宋体" w:hint="eastAsia"/>
          <w:b/>
          <w:bCs/>
          <w:color w:val="000000"/>
          <w:kern w:val="36"/>
          <w:sz w:val="30"/>
          <w:szCs w:val="30"/>
        </w:rPr>
        <w:t>加油</w:t>
      </w:r>
      <w:r w:rsidRPr="005C6E56">
        <w:rPr>
          <w:rFonts w:ascii="宋体" w:cs="宋体" w:hint="eastAsia"/>
          <w:b/>
          <w:bCs/>
          <w:color w:val="000000"/>
          <w:kern w:val="36"/>
          <w:sz w:val="30"/>
          <w:szCs w:val="30"/>
        </w:rPr>
        <w:t>”</w:t>
      </w:r>
      <w:r w:rsidRPr="005C6E56">
        <w:rPr>
          <w:rFonts w:ascii="宋体" w:hAnsi="宋体" w:cs="宋体"/>
          <w:b/>
          <w:bCs/>
          <w:color w:val="000000"/>
          <w:kern w:val="36"/>
          <w:sz w:val="30"/>
          <w:szCs w:val="30"/>
        </w:rPr>
        <w:t>—</w:t>
      </w:r>
      <w:r w:rsidRPr="005C6E56">
        <w:rPr>
          <w:rFonts w:ascii="宋体" w:hAnsi="宋体" w:cs="宋体" w:hint="eastAsia"/>
          <w:b/>
          <w:bCs/>
          <w:color w:val="000000"/>
          <w:kern w:val="36"/>
          <w:sz w:val="30"/>
          <w:szCs w:val="30"/>
        </w:rPr>
        <w:t>四部门负责人就进一步完善中央财政科研项目资金管理等政策答记者问</w:t>
      </w:r>
      <w:r w:rsidRPr="005C6E56">
        <w:rPr>
          <w:rFonts w:ascii="宋体" w:hAnsi="宋体" w:cs="宋体"/>
          <w:b/>
          <w:bCs/>
          <w:color w:val="000000"/>
          <w:kern w:val="36"/>
          <w:sz w:val="30"/>
          <w:szCs w:val="30"/>
        </w:rPr>
        <w:t xml:space="preserve"> </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日前，中共中央办公厅、国务院办公厅联合印发了《关于进一步完善中央财政科研项目资金管理等政策的若干意见》（以下简称《意见》）。为更好地理解《意见》精神，现将财政部、科技部、教育部、发展改革委四部门负责人就《意见》答记者问内容予以转发，供大家阅读并学习。</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问：制定《意见》的总体考虑是什么？</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答：创新是引领发展的第一动力，科技创新在全面创新中具有引领作用。党中央、国务院高度重视激发科技创新活力。《意见》的出台是落实全国科技创新大会精神的重要举措，是完善符合科技创新规律资源配置方式的迫切需要，是加快实施创新驱动发展战略的内在要求，是建设世界科技强国的有力保障。</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《意见》聚焦高校、科研院所和科研人员关心的突出问题，遵循</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四个坚持</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原则，着力激发创新创造活力。一是坚持以人为本。以调动科研人员积极性和创造性为出发点和落脚点</w:t>
      </w:r>
      <w:r w:rsidRPr="005C6E56">
        <w:rPr>
          <w:rFonts w:ascii="宋体" w:cs="宋体"/>
          <w:color w:val="111111"/>
          <w:kern w:val="0"/>
          <w:sz w:val="23"/>
          <w:szCs w:val="23"/>
        </w:rPr>
        <w:t>,</w:t>
      </w:r>
      <w:r w:rsidRPr="005C6E56">
        <w:rPr>
          <w:rFonts w:ascii="宋体" w:hAnsi="宋体" w:cs="宋体" w:hint="eastAsia"/>
          <w:color w:val="111111"/>
          <w:kern w:val="0"/>
          <w:sz w:val="23"/>
          <w:szCs w:val="23"/>
        </w:rPr>
        <w:t>强化激励机制</w:t>
      </w:r>
      <w:r w:rsidRPr="005C6E56">
        <w:rPr>
          <w:rFonts w:ascii="宋体" w:cs="宋体"/>
          <w:color w:val="111111"/>
          <w:kern w:val="0"/>
          <w:sz w:val="23"/>
          <w:szCs w:val="23"/>
        </w:rPr>
        <w:t>,</w:t>
      </w:r>
      <w:r w:rsidRPr="005C6E56">
        <w:rPr>
          <w:rFonts w:ascii="宋体" w:hAnsi="宋体" w:cs="宋体" w:hint="eastAsia"/>
          <w:color w:val="111111"/>
          <w:kern w:val="0"/>
          <w:sz w:val="23"/>
          <w:szCs w:val="23"/>
        </w:rPr>
        <w:t>加大激励力度，激发创新创造活力。二是坚持遵循规律。按照科研活动规律和财政预算管理要求，完善管理政策，优化管理流程，改进管理方式</w:t>
      </w:r>
      <w:r w:rsidRPr="005C6E56">
        <w:rPr>
          <w:rFonts w:ascii="宋体" w:cs="宋体"/>
          <w:color w:val="111111"/>
          <w:kern w:val="0"/>
          <w:sz w:val="23"/>
          <w:szCs w:val="23"/>
        </w:rPr>
        <w:t>,</w:t>
      </w:r>
      <w:r w:rsidRPr="005C6E56">
        <w:rPr>
          <w:rFonts w:ascii="宋体" w:hAnsi="宋体" w:cs="宋体" w:hint="eastAsia"/>
          <w:color w:val="111111"/>
          <w:kern w:val="0"/>
          <w:sz w:val="23"/>
          <w:szCs w:val="23"/>
        </w:rPr>
        <w:t>适应科研活动实际需要。三是坚持</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放管服</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结合。进一步简政放权，扩大高校、科研院所科研项目资金、差旅会议、基本建设、科研仪器设备采购等方面的管理权限，同时强调放管结合、优化服务，加强事中事后监管，寓管理于服务之中</w:t>
      </w:r>
      <w:r w:rsidRPr="005C6E56">
        <w:rPr>
          <w:rFonts w:ascii="宋体" w:cs="宋体"/>
          <w:color w:val="111111"/>
          <w:kern w:val="0"/>
          <w:sz w:val="23"/>
          <w:szCs w:val="23"/>
        </w:rPr>
        <w:t>,</w:t>
      </w:r>
      <w:r w:rsidRPr="005C6E56">
        <w:rPr>
          <w:rFonts w:ascii="宋体" w:hAnsi="宋体" w:cs="宋体" w:hint="eastAsia"/>
          <w:color w:val="111111"/>
          <w:kern w:val="0"/>
          <w:sz w:val="23"/>
          <w:szCs w:val="23"/>
        </w:rPr>
        <w:t>为科研人员潜心研究营造良好环境。四是坚持政策落实落地。细化实化政策规定，加强政策落实督查，打通政策执行中的</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堵点</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，增强科研人员改革的成就感和获得感。</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问：《意见》在改进中央财政科研项目资金管理方面提出了哪些措施？</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答：《意见》坚持以人为本、遵循规律，在改进中央财政科研项目资金管理方面，提出了一系列给科研人员</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松绑</w:t>
      </w:r>
      <w:r w:rsidRPr="005C6E56">
        <w:rPr>
          <w:rFonts w:ascii="宋体" w:hAnsi="宋体" w:cs="宋体"/>
          <w:color w:val="111111"/>
          <w:kern w:val="0"/>
          <w:sz w:val="23"/>
          <w:szCs w:val="23"/>
        </w:rPr>
        <w:t>+</w:t>
      </w:r>
      <w:r w:rsidRPr="005C6E56">
        <w:rPr>
          <w:rFonts w:ascii="宋体" w:hAnsi="宋体" w:cs="宋体" w:hint="eastAsia"/>
          <w:color w:val="111111"/>
          <w:kern w:val="0"/>
          <w:sz w:val="23"/>
          <w:szCs w:val="23"/>
        </w:rPr>
        <w:t>激励</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的政策措施。</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一是简化预算编制科目，下放调剂权限。合并会议费、差旅费、国际合作与交流费科目，这</w:t>
      </w:r>
      <w:r w:rsidRPr="005C6E56">
        <w:rPr>
          <w:rFonts w:ascii="宋体" w:hAnsi="宋体" w:cs="宋体"/>
          <w:color w:val="111111"/>
          <w:kern w:val="0"/>
          <w:sz w:val="23"/>
          <w:szCs w:val="23"/>
        </w:rPr>
        <w:t>3</w:t>
      </w:r>
      <w:r w:rsidRPr="005C6E56">
        <w:rPr>
          <w:rFonts w:ascii="宋体" w:hAnsi="宋体" w:cs="宋体" w:hint="eastAsia"/>
          <w:color w:val="111111"/>
          <w:kern w:val="0"/>
          <w:sz w:val="23"/>
          <w:szCs w:val="23"/>
        </w:rPr>
        <w:t>项费用合计如不超过直接费用的</w:t>
      </w:r>
      <w:r w:rsidRPr="005C6E56">
        <w:rPr>
          <w:rFonts w:ascii="宋体" w:hAnsi="宋体" w:cs="宋体"/>
          <w:color w:val="111111"/>
          <w:kern w:val="0"/>
          <w:sz w:val="23"/>
          <w:szCs w:val="23"/>
        </w:rPr>
        <w:t>10%</w:t>
      </w:r>
      <w:r w:rsidRPr="005C6E56">
        <w:rPr>
          <w:rFonts w:ascii="宋体" w:hAnsi="宋体" w:cs="宋体" w:hint="eastAsia"/>
          <w:color w:val="111111"/>
          <w:kern w:val="0"/>
          <w:sz w:val="23"/>
          <w:szCs w:val="23"/>
        </w:rPr>
        <w:t>，无须提供预算测算依据，科研人员在编制这部分预算时不用再具体说明开几次会、出几次差。下放预算调剂权限，将直接费用中的材料费、测试化验加工费、燃料动力费等多数科目的预算调剂权下放给项目承担单位。</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二是提高间接费用比重，加大绩效激励力度。中央财政科技计划（专项、基金等）中实行公开竞争方式的研发类项目，均要设立间接费用，主要用于项目承担单位的成本耗费和对科研人员的绩效激励。进一步提高间接费用比重，核定比例可以按规定提高到不超过直接费用扣除设备购置费的</w:t>
      </w:r>
      <w:r w:rsidRPr="005C6E56">
        <w:rPr>
          <w:rFonts w:ascii="宋体" w:hAnsi="宋体" w:cs="宋体"/>
          <w:color w:val="111111"/>
          <w:kern w:val="0"/>
          <w:sz w:val="23"/>
          <w:szCs w:val="23"/>
        </w:rPr>
        <w:t>20%</w:t>
      </w:r>
      <w:r w:rsidRPr="005C6E56">
        <w:rPr>
          <w:rFonts w:ascii="宋体" w:hAnsi="宋体" w:cs="宋体" w:hint="eastAsia"/>
          <w:color w:val="111111"/>
          <w:kern w:val="0"/>
          <w:sz w:val="23"/>
          <w:szCs w:val="23"/>
        </w:rPr>
        <w:t>、</w:t>
      </w:r>
      <w:r w:rsidRPr="005C6E56">
        <w:rPr>
          <w:rFonts w:ascii="宋体" w:hAnsi="宋体" w:cs="宋体"/>
          <w:color w:val="111111"/>
          <w:kern w:val="0"/>
          <w:sz w:val="23"/>
          <w:szCs w:val="23"/>
        </w:rPr>
        <w:t>15%</w:t>
      </w:r>
      <w:r w:rsidRPr="005C6E56">
        <w:rPr>
          <w:rFonts w:ascii="宋体" w:hAnsi="宋体" w:cs="宋体" w:hint="eastAsia"/>
          <w:color w:val="111111"/>
          <w:kern w:val="0"/>
          <w:sz w:val="23"/>
          <w:szCs w:val="23"/>
        </w:rPr>
        <w:t>、</w:t>
      </w:r>
      <w:r w:rsidRPr="005C6E56">
        <w:rPr>
          <w:rFonts w:ascii="宋体" w:hAnsi="宋体" w:cs="宋体"/>
          <w:color w:val="111111"/>
          <w:kern w:val="0"/>
          <w:sz w:val="23"/>
          <w:szCs w:val="23"/>
        </w:rPr>
        <w:t>13%</w:t>
      </w:r>
      <w:r w:rsidRPr="005C6E56">
        <w:rPr>
          <w:rFonts w:ascii="宋体" w:hAnsi="宋体" w:cs="宋体" w:hint="eastAsia"/>
          <w:color w:val="111111"/>
          <w:kern w:val="0"/>
          <w:sz w:val="23"/>
          <w:szCs w:val="23"/>
        </w:rPr>
        <w:t>。加大对科研人员激励力度，项目承担单位可以在核定的间接费用比例范围内科学合理安排绩效支出，并与科研人员在项目工作中的实际贡献挂钩。</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三是明确劳务费开支范围和标准。重申劳务费不设比例限制。明确参与项目研究的研究生、博士后、访问学者以及项目聘用的研究人员、科研辅助人员等，均可开支劳务费。明确项目聘用人员的劳务费开支标准，参照当地科学研究和技术服务业从业人员平均工资水平，根据其在项目研究中承担的工作任务确定。</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四是改进结转结余资金留用处理方式。科研项目实施期间，年度剩余资金可以结转下年继续使用。项目完成任务目标并通过验收后，结余资金按规定留归项目承担单位使用，在</w:t>
      </w:r>
      <w:r w:rsidRPr="005C6E56">
        <w:rPr>
          <w:rFonts w:ascii="宋体" w:hAnsi="宋体" w:cs="宋体"/>
          <w:color w:val="111111"/>
          <w:kern w:val="0"/>
          <w:sz w:val="23"/>
          <w:szCs w:val="23"/>
        </w:rPr>
        <w:t>2</w:t>
      </w:r>
      <w:r w:rsidRPr="005C6E56">
        <w:rPr>
          <w:rFonts w:ascii="宋体" w:hAnsi="宋体" w:cs="宋体" w:hint="eastAsia"/>
          <w:color w:val="111111"/>
          <w:kern w:val="0"/>
          <w:sz w:val="23"/>
          <w:szCs w:val="23"/>
        </w:rPr>
        <w:t>年内可统筹安排用于科研活动的直接支出；</w:t>
      </w:r>
      <w:r w:rsidRPr="005C6E56">
        <w:rPr>
          <w:rFonts w:ascii="宋体" w:hAnsi="宋体" w:cs="宋体"/>
          <w:color w:val="111111"/>
          <w:kern w:val="0"/>
          <w:sz w:val="23"/>
          <w:szCs w:val="23"/>
        </w:rPr>
        <w:t>2</w:t>
      </w:r>
      <w:r w:rsidRPr="005C6E56">
        <w:rPr>
          <w:rFonts w:ascii="宋体" w:hAnsi="宋体" w:cs="宋体" w:hint="eastAsia"/>
          <w:color w:val="111111"/>
          <w:kern w:val="0"/>
          <w:sz w:val="23"/>
          <w:szCs w:val="23"/>
        </w:rPr>
        <w:t>年后未使用完的，按规定收回。</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五是自主规范管理横向经费。项目承担单位以市场委托方式取得的横向经费，由单位按照委托方要求或合同约定管理使用，有效解决一些科研人员反映的横向经费</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纵向化</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管理问题。为防止单位设</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账外账</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，要求将横向经费纳入单位财务统一管理。</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问：《意见》在扩大高校和科研院所管理权限方面有哪些</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亮点</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答：《意见》坚持简政放权，在四大方面扩大了高校和科研院所管理权限</w:t>
      </w:r>
      <w:r w:rsidRPr="005C6E56">
        <w:rPr>
          <w:rFonts w:ascii="宋体" w:cs="宋体" w:hint="eastAsia"/>
          <w:color w:val="111111"/>
          <w:kern w:val="0"/>
          <w:sz w:val="23"/>
          <w:szCs w:val="23"/>
        </w:rPr>
        <w:t>“</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一是扩大中央财政科研项目资金管理权限。主要包括：项目预算调剂自主权、劳务费分配管理自主权、间接费使用管理自主权、结转结余资金按规定使用自主权等。</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二是下放差旅会议管理权限，不简单套用行政预算和财务管理方法。中央高校、科研院所可根据教学、科研和管理工作实际需要，按照精简高效、厉行节约的原则，研究制定差旅费管理办法</w:t>
      </w:r>
      <w:r w:rsidRPr="005C6E56">
        <w:rPr>
          <w:rFonts w:ascii="宋体" w:cs="宋体"/>
          <w:color w:val="111111"/>
          <w:kern w:val="0"/>
          <w:sz w:val="23"/>
          <w:szCs w:val="23"/>
        </w:rPr>
        <w:t>,</w:t>
      </w:r>
      <w:r w:rsidRPr="005C6E56">
        <w:rPr>
          <w:rFonts w:ascii="宋体" w:hAnsi="宋体" w:cs="宋体" w:hint="eastAsia"/>
          <w:color w:val="111111"/>
          <w:kern w:val="0"/>
          <w:sz w:val="23"/>
          <w:szCs w:val="23"/>
        </w:rPr>
        <w:t>合理确定教学科研人员乘坐交通工具等级和住宿费标准。对于难以取得住宿费发票的，中央高校、科研院所在确保真实性的前提下，据实报销城市间交通费，并按规定标准发放伙食补助费和市内交通费。中央高校、科研院所因教学、科研需要举办的业务性会议，如学术会议、研讨会、评审会、座谈会、答辩会等，其次数、天数、人数以及会议费开支范围、标准等，由单位按照实事求是、精简高效、厉行节约的原则确定。因工作需要，邀请国内外专家、学者和有关人员参加会议，对确需负担的城市间交通费、国际旅费，可由主办单位在会议费等费用中报销等。</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三是完善中央高校、科研院所科研仪器设备采购管理。中央高校和科研院所可自行采购科研仪器设备、自行选择科研仪器设备评审专家，同时要切实做好设备采购的监督管理。财政部要简化政府采购项目预算调剂和变更政府采购方式审批流程。对中央高校、科研院所采购进口仪器设备实行备案制管理。继续落实进口科研教学用品免税政策。</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四是完善中央高校、科研院所基本建设项目管理。扩大了中央高校、科研院所基建项目管理权限，对利用自有资金、不申请政府投资建设的项目，由单位自主决策，变主管部门审批为备案。同时要求发展改革委和中央高校、科研院所主管部门要加强指导和监督检查。简化审批程序，对列入中央高校、科研院所五年建设规划的项目，主管部门不再审批项目建议书。简化项目城乡规划、用地及环评、能评等审批手续。</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问：《意见》出台了一系列简政放权的措施，怎样才能确保项目承担单位</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接得住，管得好</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？优化服务的措施有哪些？</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答：《意见》坚持问题导向，从</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放、管、服、落</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四个方面提出了务实管用、细化落地的政策措施。在</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放</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的方面，遵循科研活动规律和特点，改进中央财政科研项目资金管理，扩大中央高校、科研院所在差旅会议、基本建设、科研仪器设备采购等方面的管理权限，调动科研人员的积极性和创造性。在</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管</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的方面，强化项目承担单位法人责任，规范资金管理，防止资金</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跑冒滴漏</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，确保项目承担单位</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接得住，管得好</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。在</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服</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的方面，精简检查评审、创新服务方式，为科研人员潜心从事科学研究营造良好环境。在</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落</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的方面，加强制度建设和工作督查，确保政策措施落地见效。</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科研项目资金管理等简政放权后，如何防止资金</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跑冒滴漏</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，如何确保项目承担单位</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接得住，管得好</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，避免政策落实中的</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中梗阻</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和</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最后一公里</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问题，是急需解决的重要问题。为此，《意见》强调项目承担单位要依法理财、规范管理。一是强化单位法人责任。单位要认真落实国家有关政策规定，按照权责一致的要求，强化自我约束和自我规范，制定内部管理办法，落实项目预算调剂、间接费用统筹使用、劳务费分配管理、结余资金使用等管理权限。二是规范资金管理，单位要加强预算审核把关，规范财务支出行为，完善内部风险防控机制，强化资金使用绩效评价；要实行内部公开制度，主动公开项目预算、预算调剂、资金使用（重点是间接费用、外拨资金、结余资金使用）、研究成果等情况，确保资金、人员</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两安全</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《意见》要求，有关部门和单位要改进服务，为科研人员简除烦苛、松绑减负，着力让经费为人的创造性活动服务。一是在检查评审上</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做减法</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，减轻单位和科研人员负担。建立职责明确、分工负责的协同工作机制，改进检查方式，避免重复检查、多头检查、过度检查，减少监管中的制度性交易成本。二是在服务方式上</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做加法</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，为科研人员潜心从事科研营造良好环境。项目承担单位要建立健全科研财务助理制度，</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让专业的人做专业的事</w:t>
      </w:r>
      <w:r w:rsidRPr="005C6E56">
        <w:rPr>
          <w:rFonts w:ascii="宋体" w:cs="宋体" w:hint="eastAsia"/>
          <w:color w:val="111111"/>
          <w:kern w:val="0"/>
          <w:sz w:val="23"/>
          <w:szCs w:val="23"/>
        </w:rPr>
        <w:t>”</w:t>
      </w:r>
      <w:r w:rsidRPr="005C6E56">
        <w:rPr>
          <w:rFonts w:ascii="宋体" w:hAnsi="宋体" w:cs="宋体" w:hint="eastAsia"/>
          <w:color w:val="111111"/>
          <w:kern w:val="0"/>
          <w:sz w:val="23"/>
          <w:szCs w:val="23"/>
        </w:rPr>
        <w:t>，科研财务助理所需费用可由单位根据情况通过科研项目资金等渠道解决；充分运用信息化手段，更加快捷方便地为科研人员做好服务；制定符合科研实际需要的内部报销规定，着力破解一些单位和科研人员反映的无法取得发票或财政性票据，以及邀请外国专家来华参加学术交流发生费用等的报销问题。</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问：为确保政策落地见效，《意见》提出了哪些保障措施？</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答：《意见》强调要加强制度建设和工作督查，确保政策落地见效。</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一是增强政策措施的可操作性。项目主管部门要在</w:t>
      </w:r>
      <w:r w:rsidRPr="005C6E56">
        <w:rPr>
          <w:rFonts w:ascii="宋体" w:hAnsi="宋体" w:cs="宋体"/>
          <w:color w:val="111111"/>
          <w:kern w:val="0"/>
          <w:sz w:val="23"/>
          <w:szCs w:val="23"/>
        </w:rPr>
        <w:t>2016</w:t>
      </w:r>
      <w:r w:rsidRPr="005C6E56">
        <w:rPr>
          <w:rFonts w:ascii="宋体" w:hAnsi="宋体" w:cs="宋体" w:hint="eastAsia"/>
          <w:color w:val="111111"/>
          <w:kern w:val="0"/>
          <w:sz w:val="23"/>
          <w:szCs w:val="23"/>
        </w:rPr>
        <w:t>年年底前出台实施细则，为预算编制、评审、财务验收等提供操作规范，防止政策在执行中走样变形。中央高校、科研院所要在</w:t>
      </w:r>
      <w:r w:rsidRPr="005C6E56">
        <w:rPr>
          <w:rFonts w:ascii="宋体" w:hAnsi="宋体" w:cs="宋体"/>
          <w:color w:val="111111"/>
          <w:kern w:val="0"/>
          <w:sz w:val="23"/>
          <w:szCs w:val="23"/>
        </w:rPr>
        <w:t>2016</w:t>
      </w:r>
      <w:r w:rsidRPr="005C6E56">
        <w:rPr>
          <w:rFonts w:ascii="宋体" w:hAnsi="宋体" w:cs="宋体" w:hint="eastAsia"/>
          <w:color w:val="111111"/>
          <w:kern w:val="0"/>
          <w:sz w:val="23"/>
          <w:szCs w:val="23"/>
        </w:rPr>
        <w:t>年</w:t>
      </w:r>
      <w:r w:rsidRPr="005C6E56">
        <w:rPr>
          <w:rFonts w:ascii="宋体" w:hAnsi="宋体" w:cs="宋体"/>
          <w:color w:val="111111"/>
          <w:kern w:val="0"/>
          <w:sz w:val="23"/>
          <w:szCs w:val="23"/>
        </w:rPr>
        <w:t>9</w:t>
      </w:r>
      <w:r w:rsidRPr="005C6E56">
        <w:rPr>
          <w:rFonts w:ascii="宋体" w:hAnsi="宋体" w:cs="宋体" w:hint="eastAsia"/>
          <w:color w:val="111111"/>
          <w:kern w:val="0"/>
          <w:sz w:val="23"/>
          <w:szCs w:val="23"/>
        </w:rPr>
        <w:t>月</w:t>
      </w:r>
      <w:r w:rsidRPr="005C6E56">
        <w:rPr>
          <w:rFonts w:ascii="宋体" w:hAnsi="宋体" w:cs="宋体"/>
          <w:color w:val="111111"/>
          <w:kern w:val="0"/>
          <w:sz w:val="23"/>
          <w:szCs w:val="23"/>
        </w:rPr>
        <w:t>1</w:t>
      </w:r>
      <w:r w:rsidRPr="005C6E56">
        <w:rPr>
          <w:rFonts w:ascii="宋体" w:hAnsi="宋体" w:cs="宋体" w:hint="eastAsia"/>
          <w:color w:val="111111"/>
          <w:kern w:val="0"/>
          <w:sz w:val="23"/>
          <w:szCs w:val="23"/>
        </w:rPr>
        <w:t>日前制定出台差旅费、会议费内部管理办法，其主管部门要做好工作指导和统筹；项目承担单位要在</w:t>
      </w:r>
      <w:r w:rsidRPr="005C6E56">
        <w:rPr>
          <w:rFonts w:ascii="宋体" w:hAnsi="宋体" w:cs="宋体"/>
          <w:color w:val="111111"/>
          <w:kern w:val="0"/>
          <w:sz w:val="23"/>
          <w:szCs w:val="23"/>
        </w:rPr>
        <w:t>2016</w:t>
      </w:r>
      <w:r w:rsidRPr="005C6E56">
        <w:rPr>
          <w:rFonts w:ascii="宋体" w:hAnsi="宋体" w:cs="宋体" w:hint="eastAsia"/>
          <w:color w:val="111111"/>
          <w:kern w:val="0"/>
          <w:sz w:val="23"/>
          <w:szCs w:val="23"/>
        </w:rPr>
        <w:t>年年底前制定或修订科研项目资金内部管理办法和报销规定，确保有关政策尽快落地生根。以后年度承担科研项目的单位要于当年制定出台相关管理办法和规定。</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二是强化工作督查指导，确保政策落地见效。财政部、科技部要适时组织开展对相关政策落实情况的督查，对督查结果进行通报并纳入信用管理，与间接费用核定、结余资金留用等挂钩。审计机关要依法开展对政策措施落实情况和财政资金的审计监督。项目主管部门要督促指导所属单位完善内部管理。</w:t>
      </w:r>
    </w:p>
    <w:p w:rsidR="00993D44" w:rsidRPr="005C6E56" w:rsidRDefault="00993D44" w:rsidP="005C6E56">
      <w:pPr>
        <w:widowControl/>
        <w:spacing w:before="100" w:beforeAutospacing="1" w:after="100" w:afterAutospacing="1" w:line="405" w:lineRule="atLeast"/>
        <w:jc w:val="left"/>
        <w:rPr>
          <w:rFonts w:ascii="宋体" w:cs="宋体"/>
          <w:color w:val="111111"/>
          <w:kern w:val="0"/>
          <w:sz w:val="23"/>
          <w:szCs w:val="23"/>
        </w:rPr>
      </w:pPr>
      <w:r w:rsidRPr="005C6E56">
        <w:rPr>
          <w:rFonts w:ascii="宋体" w:hAnsi="宋体" w:cs="宋体" w:hint="eastAsia"/>
          <w:color w:val="111111"/>
          <w:kern w:val="0"/>
          <w:sz w:val="23"/>
          <w:szCs w:val="23"/>
        </w:rPr>
        <w:t xml:space="preserve">　　此外，为发挥政策协同效应，《意见》还提出两方面要求：一是加快修订中央级社科类科研项目资金管理办法，同步增强社科领域科研人员的改革成就感和获得感。二是各地还要参照《意见》精神，结合实际，加快推进科研项目资金管理改革等各项工作，以形成上下联动、全国一盘棋的工作局面。</w:t>
      </w:r>
    </w:p>
    <w:p w:rsidR="00993D44" w:rsidRPr="005C6E56" w:rsidRDefault="00993D44" w:rsidP="005C6E56">
      <w:pPr>
        <w:widowControl/>
        <w:jc w:val="left"/>
        <w:rPr>
          <w:rFonts w:ascii="宋体" w:cs="宋体"/>
          <w:color w:val="000000"/>
          <w:kern w:val="0"/>
          <w:sz w:val="18"/>
          <w:szCs w:val="18"/>
        </w:rPr>
      </w:pPr>
      <w:r w:rsidRPr="005C6E56">
        <w:rPr>
          <w:rFonts w:ascii="宋体" w:cs="宋体"/>
          <w:color w:val="000000"/>
          <w:kern w:val="0"/>
          <w:sz w:val="18"/>
          <w:szCs w:val="18"/>
        </w:rPr>
        <w:t> </w:t>
      </w:r>
    </w:p>
    <w:p w:rsidR="00993D44" w:rsidRPr="005C6E56" w:rsidRDefault="00993D44"/>
    <w:sectPr w:rsidR="00993D44" w:rsidRPr="005C6E56" w:rsidSect="001576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E56"/>
    <w:rsid w:val="00000806"/>
    <w:rsid w:val="00003A3A"/>
    <w:rsid w:val="0001107E"/>
    <w:rsid w:val="0001524B"/>
    <w:rsid w:val="00020F1A"/>
    <w:rsid w:val="000251F1"/>
    <w:rsid w:val="00025973"/>
    <w:rsid w:val="000339CF"/>
    <w:rsid w:val="00035C56"/>
    <w:rsid w:val="00044F9D"/>
    <w:rsid w:val="0005156C"/>
    <w:rsid w:val="00052758"/>
    <w:rsid w:val="000541E2"/>
    <w:rsid w:val="00055CE0"/>
    <w:rsid w:val="0005670B"/>
    <w:rsid w:val="000636A8"/>
    <w:rsid w:val="00063D11"/>
    <w:rsid w:val="000658ED"/>
    <w:rsid w:val="000670D2"/>
    <w:rsid w:val="00071088"/>
    <w:rsid w:val="0007461C"/>
    <w:rsid w:val="000746D6"/>
    <w:rsid w:val="0008165A"/>
    <w:rsid w:val="00092E20"/>
    <w:rsid w:val="000A19B9"/>
    <w:rsid w:val="000B12A1"/>
    <w:rsid w:val="000B213C"/>
    <w:rsid w:val="000B6C3E"/>
    <w:rsid w:val="000F02D8"/>
    <w:rsid w:val="000F2BD1"/>
    <w:rsid w:val="0010104C"/>
    <w:rsid w:val="0010117E"/>
    <w:rsid w:val="0010249D"/>
    <w:rsid w:val="00102FDE"/>
    <w:rsid w:val="00103462"/>
    <w:rsid w:val="00107599"/>
    <w:rsid w:val="001107E9"/>
    <w:rsid w:val="00115FBB"/>
    <w:rsid w:val="00120962"/>
    <w:rsid w:val="00122637"/>
    <w:rsid w:val="00131CF2"/>
    <w:rsid w:val="0013500B"/>
    <w:rsid w:val="001369C7"/>
    <w:rsid w:val="001372AF"/>
    <w:rsid w:val="00141E6E"/>
    <w:rsid w:val="00142985"/>
    <w:rsid w:val="00143D26"/>
    <w:rsid w:val="0014692B"/>
    <w:rsid w:val="00152A4C"/>
    <w:rsid w:val="00154EEE"/>
    <w:rsid w:val="00157619"/>
    <w:rsid w:val="0016062A"/>
    <w:rsid w:val="001624E9"/>
    <w:rsid w:val="0017008F"/>
    <w:rsid w:val="00174A62"/>
    <w:rsid w:val="00175725"/>
    <w:rsid w:val="00185248"/>
    <w:rsid w:val="00185F62"/>
    <w:rsid w:val="00187681"/>
    <w:rsid w:val="00192FFB"/>
    <w:rsid w:val="00193CD4"/>
    <w:rsid w:val="001940F3"/>
    <w:rsid w:val="001A133A"/>
    <w:rsid w:val="001A38DD"/>
    <w:rsid w:val="001B758D"/>
    <w:rsid w:val="001B78BE"/>
    <w:rsid w:val="001C00CC"/>
    <w:rsid w:val="001C0811"/>
    <w:rsid w:val="001C6DE9"/>
    <w:rsid w:val="001D0802"/>
    <w:rsid w:val="001D2BB2"/>
    <w:rsid w:val="001D7A41"/>
    <w:rsid w:val="001E3FC0"/>
    <w:rsid w:val="001E5387"/>
    <w:rsid w:val="001E7178"/>
    <w:rsid w:val="001E7F0F"/>
    <w:rsid w:val="002007AC"/>
    <w:rsid w:val="002008BD"/>
    <w:rsid w:val="00204533"/>
    <w:rsid w:val="00205FC1"/>
    <w:rsid w:val="00211431"/>
    <w:rsid w:val="00212625"/>
    <w:rsid w:val="00220693"/>
    <w:rsid w:val="002238C5"/>
    <w:rsid w:val="00227A1D"/>
    <w:rsid w:val="00232075"/>
    <w:rsid w:val="0023399B"/>
    <w:rsid w:val="0023496F"/>
    <w:rsid w:val="002363D4"/>
    <w:rsid w:val="00236434"/>
    <w:rsid w:val="00240155"/>
    <w:rsid w:val="0024103F"/>
    <w:rsid w:val="0024184A"/>
    <w:rsid w:val="00243431"/>
    <w:rsid w:val="00247490"/>
    <w:rsid w:val="00247BD0"/>
    <w:rsid w:val="00252A8C"/>
    <w:rsid w:val="00253F7C"/>
    <w:rsid w:val="00254C15"/>
    <w:rsid w:val="00257889"/>
    <w:rsid w:val="002625D0"/>
    <w:rsid w:val="00270E68"/>
    <w:rsid w:val="00271940"/>
    <w:rsid w:val="002923FC"/>
    <w:rsid w:val="00295711"/>
    <w:rsid w:val="002A2D07"/>
    <w:rsid w:val="002A3DB1"/>
    <w:rsid w:val="002B240F"/>
    <w:rsid w:val="002B66D6"/>
    <w:rsid w:val="002B697E"/>
    <w:rsid w:val="002B7884"/>
    <w:rsid w:val="002C0F89"/>
    <w:rsid w:val="002C66C7"/>
    <w:rsid w:val="002C6D02"/>
    <w:rsid w:val="002C7DA4"/>
    <w:rsid w:val="002D6A4C"/>
    <w:rsid w:val="002D73D2"/>
    <w:rsid w:val="002E05C4"/>
    <w:rsid w:val="002E30D5"/>
    <w:rsid w:val="002E346C"/>
    <w:rsid w:val="002E5168"/>
    <w:rsid w:val="002F1EE6"/>
    <w:rsid w:val="003058A8"/>
    <w:rsid w:val="003179EE"/>
    <w:rsid w:val="00322E62"/>
    <w:rsid w:val="00331632"/>
    <w:rsid w:val="00334551"/>
    <w:rsid w:val="003377FC"/>
    <w:rsid w:val="003547C1"/>
    <w:rsid w:val="003559FD"/>
    <w:rsid w:val="00360B5F"/>
    <w:rsid w:val="00363107"/>
    <w:rsid w:val="003640B5"/>
    <w:rsid w:val="0036412E"/>
    <w:rsid w:val="00370C02"/>
    <w:rsid w:val="00374504"/>
    <w:rsid w:val="00376AD7"/>
    <w:rsid w:val="0038583D"/>
    <w:rsid w:val="003972D4"/>
    <w:rsid w:val="003B250F"/>
    <w:rsid w:val="003C7816"/>
    <w:rsid w:val="003D1D4B"/>
    <w:rsid w:val="003D2743"/>
    <w:rsid w:val="003D6465"/>
    <w:rsid w:val="003D756D"/>
    <w:rsid w:val="003E1359"/>
    <w:rsid w:val="003F0D56"/>
    <w:rsid w:val="003F2F7F"/>
    <w:rsid w:val="00401B85"/>
    <w:rsid w:val="0040733A"/>
    <w:rsid w:val="00407AA2"/>
    <w:rsid w:val="004163CD"/>
    <w:rsid w:val="00442AB2"/>
    <w:rsid w:val="00442E6A"/>
    <w:rsid w:val="00444C17"/>
    <w:rsid w:val="00445036"/>
    <w:rsid w:val="0045536D"/>
    <w:rsid w:val="0045567B"/>
    <w:rsid w:val="00460296"/>
    <w:rsid w:val="004756A7"/>
    <w:rsid w:val="00482F94"/>
    <w:rsid w:val="00491B13"/>
    <w:rsid w:val="00497534"/>
    <w:rsid w:val="004C390E"/>
    <w:rsid w:val="004C73D5"/>
    <w:rsid w:val="004C7F90"/>
    <w:rsid w:val="004D0F47"/>
    <w:rsid w:val="004D307D"/>
    <w:rsid w:val="004D51CE"/>
    <w:rsid w:val="004E1C56"/>
    <w:rsid w:val="004F751C"/>
    <w:rsid w:val="005003B6"/>
    <w:rsid w:val="005050EE"/>
    <w:rsid w:val="00506573"/>
    <w:rsid w:val="0051178C"/>
    <w:rsid w:val="00515DBA"/>
    <w:rsid w:val="0052054C"/>
    <w:rsid w:val="005244C3"/>
    <w:rsid w:val="00527B82"/>
    <w:rsid w:val="00532991"/>
    <w:rsid w:val="00533F07"/>
    <w:rsid w:val="00535D51"/>
    <w:rsid w:val="005434AD"/>
    <w:rsid w:val="00550818"/>
    <w:rsid w:val="00550F5F"/>
    <w:rsid w:val="00556214"/>
    <w:rsid w:val="00561153"/>
    <w:rsid w:val="00562A37"/>
    <w:rsid w:val="005674FD"/>
    <w:rsid w:val="00572A53"/>
    <w:rsid w:val="0057707C"/>
    <w:rsid w:val="0058160A"/>
    <w:rsid w:val="00584EBE"/>
    <w:rsid w:val="005A1196"/>
    <w:rsid w:val="005A13E5"/>
    <w:rsid w:val="005A769C"/>
    <w:rsid w:val="005B0EA7"/>
    <w:rsid w:val="005B44B7"/>
    <w:rsid w:val="005C440F"/>
    <w:rsid w:val="005C4A3D"/>
    <w:rsid w:val="005C6111"/>
    <w:rsid w:val="005C6E56"/>
    <w:rsid w:val="005C7754"/>
    <w:rsid w:val="005D2D6A"/>
    <w:rsid w:val="005D379E"/>
    <w:rsid w:val="005D67F4"/>
    <w:rsid w:val="0060222E"/>
    <w:rsid w:val="00602D28"/>
    <w:rsid w:val="00610B94"/>
    <w:rsid w:val="00610D70"/>
    <w:rsid w:val="00615DBA"/>
    <w:rsid w:val="00617193"/>
    <w:rsid w:val="006267E5"/>
    <w:rsid w:val="00637F87"/>
    <w:rsid w:val="00641933"/>
    <w:rsid w:val="006439B6"/>
    <w:rsid w:val="00653D03"/>
    <w:rsid w:val="0065766C"/>
    <w:rsid w:val="006859AD"/>
    <w:rsid w:val="00693DD7"/>
    <w:rsid w:val="006966D7"/>
    <w:rsid w:val="006A17CC"/>
    <w:rsid w:val="006A2101"/>
    <w:rsid w:val="006A253B"/>
    <w:rsid w:val="006A3B77"/>
    <w:rsid w:val="006A61BF"/>
    <w:rsid w:val="006B6B0E"/>
    <w:rsid w:val="006C33F9"/>
    <w:rsid w:val="006C3502"/>
    <w:rsid w:val="006C6934"/>
    <w:rsid w:val="006E057F"/>
    <w:rsid w:val="006E7CBB"/>
    <w:rsid w:val="006F440A"/>
    <w:rsid w:val="006F6DAA"/>
    <w:rsid w:val="007067A6"/>
    <w:rsid w:val="00706C1E"/>
    <w:rsid w:val="0071385B"/>
    <w:rsid w:val="00727E38"/>
    <w:rsid w:val="00733917"/>
    <w:rsid w:val="00734B82"/>
    <w:rsid w:val="007434B0"/>
    <w:rsid w:val="00751D44"/>
    <w:rsid w:val="007520F7"/>
    <w:rsid w:val="007610AE"/>
    <w:rsid w:val="00761711"/>
    <w:rsid w:val="00766891"/>
    <w:rsid w:val="00770762"/>
    <w:rsid w:val="00785520"/>
    <w:rsid w:val="00786D81"/>
    <w:rsid w:val="007917EC"/>
    <w:rsid w:val="007B02F9"/>
    <w:rsid w:val="007B20D2"/>
    <w:rsid w:val="007B4E32"/>
    <w:rsid w:val="007D0330"/>
    <w:rsid w:val="007D6573"/>
    <w:rsid w:val="007E727B"/>
    <w:rsid w:val="008020E6"/>
    <w:rsid w:val="00806BDC"/>
    <w:rsid w:val="0081664A"/>
    <w:rsid w:val="00823992"/>
    <w:rsid w:val="00830ED2"/>
    <w:rsid w:val="008312AB"/>
    <w:rsid w:val="00831332"/>
    <w:rsid w:val="00841E51"/>
    <w:rsid w:val="00843426"/>
    <w:rsid w:val="00855D02"/>
    <w:rsid w:val="008568A7"/>
    <w:rsid w:val="00865625"/>
    <w:rsid w:val="008718C4"/>
    <w:rsid w:val="0087735D"/>
    <w:rsid w:val="008877A2"/>
    <w:rsid w:val="008A3A94"/>
    <w:rsid w:val="008A7C41"/>
    <w:rsid w:val="008B6FB0"/>
    <w:rsid w:val="008C0115"/>
    <w:rsid w:val="008C3C77"/>
    <w:rsid w:val="008C665F"/>
    <w:rsid w:val="008D351A"/>
    <w:rsid w:val="008F7DF4"/>
    <w:rsid w:val="009034AD"/>
    <w:rsid w:val="0090665E"/>
    <w:rsid w:val="00914023"/>
    <w:rsid w:val="00914744"/>
    <w:rsid w:val="00916402"/>
    <w:rsid w:val="009200AB"/>
    <w:rsid w:val="0092438E"/>
    <w:rsid w:val="00935870"/>
    <w:rsid w:val="00941875"/>
    <w:rsid w:val="00945D13"/>
    <w:rsid w:val="00951B74"/>
    <w:rsid w:val="00952809"/>
    <w:rsid w:val="00967197"/>
    <w:rsid w:val="0097337C"/>
    <w:rsid w:val="00980897"/>
    <w:rsid w:val="00982717"/>
    <w:rsid w:val="00983180"/>
    <w:rsid w:val="009921EC"/>
    <w:rsid w:val="00993D44"/>
    <w:rsid w:val="00997083"/>
    <w:rsid w:val="009A11E0"/>
    <w:rsid w:val="009C021C"/>
    <w:rsid w:val="009C0D1C"/>
    <w:rsid w:val="009C28F1"/>
    <w:rsid w:val="009C6225"/>
    <w:rsid w:val="009E7759"/>
    <w:rsid w:val="009F4665"/>
    <w:rsid w:val="009F5892"/>
    <w:rsid w:val="00A042A5"/>
    <w:rsid w:val="00A25280"/>
    <w:rsid w:val="00A25889"/>
    <w:rsid w:val="00A2671A"/>
    <w:rsid w:val="00A3095F"/>
    <w:rsid w:val="00A30D58"/>
    <w:rsid w:val="00A3721C"/>
    <w:rsid w:val="00A50C40"/>
    <w:rsid w:val="00A51373"/>
    <w:rsid w:val="00A533E2"/>
    <w:rsid w:val="00A60603"/>
    <w:rsid w:val="00A60C42"/>
    <w:rsid w:val="00A6216C"/>
    <w:rsid w:val="00A7277A"/>
    <w:rsid w:val="00A76A87"/>
    <w:rsid w:val="00A864C4"/>
    <w:rsid w:val="00A92091"/>
    <w:rsid w:val="00A92F1D"/>
    <w:rsid w:val="00A954C8"/>
    <w:rsid w:val="00A955B3"/>
    <w:rsid w:val="00AA2221"/>
    <w:rsid w:val="00AA4BA9"/>
    <w:rsid w:val="00AA76ED"/>
    <w:rsid w:val="00AB5603"/>
    <w:rsid w:val="00AC46A1"/>
    <w:rsid w:val="00AD0259"/>
    <w:rsid w:val="00AD1D4B"/>
    <w:rsid w:val="00AD7F4D"/>
    <w:rsid w:val="00AF062A"/>
    <w:rsid w:val="00AF17AE"/>
    <w:rsid w:val="00AF4D88"/>
    <w:rsid w:val="00AF5F29"/>
    <w:rsid w:val="00B00EB7"/>
    <w:rsid w:val="00B026DE"/>
    <w:rsid w:val="00B0338E"/>
    <w:rsid w:val="00B140D6"/>
    <w:rsid w:val="00B208D1"/>
    <w:rsid w:val="00B2175D"/>
    <w:rsid w:val="00B21FF1"/>
    <w:rsid w:val="00B22FAA"/>
    <w:rsid w:val="00B376C0"/>
    <w:rsid w:val="00B37D01"/>
    <w:rsid w:val="00B40A70"/>
    <w:rsid w:val="00B424FF"/>
    <w:rsid w:val="00B4486E"/>
    <w:rsid w:val="00B651F5"/>
    <w:rsid w:val="00B75647"/>
    <w:rsid w:val="00B80011"/>
    <w:rsid w:val="00B80473"/>
    <w:rsid w:val="00B84AA3"/>
    <w:rsid w:val="00B90986"/>
    <w:rsid w:val="00B97E73"/>
    <w:rsid w:val="00BA51C1"/>
    <w:rsid w:val="00BB3E4C"/>
    <w:rsid w:val="00BC2DA2"/>
    <w:rsid w:val="00BC60BD"/>
    <w:rsid w:val="00BE08D5"/>
    <w:rsid w:val="00BF0A83"/>
    <w:rsid w:val="00BF15D4"/>
    <w:rsid w:val="00BF4809"/>
    <w:rsid w:val="00C010E5"/>
    <w:rsid w:val="00C033B5"/>
    <w:rsid w:val="00C0431B"/>
    <w:rsid w:val="00C14F11"/>
    <w:rsid w:val="00C164C9"/>
    <w:rsid w:val="00C251E9"/>
    <w:rsid w:val="00C27809"/>
    <w:rsid w:val="00C27B63"/>
    <w:rsid w:val="00C405D3"/>
    <w:rsid w:val="00C52CED"/>
    <w:rsid w:val="00C53D23"/>
    <w:rsid w:val="00C55DCD"/>
    <w:rsid w:val="00C57D9E"/>
    <w:rsid w:val="00C6256C"/>
    <w:rsid w:val="00C65B79"/>
    <w:rsid w:val="00C75F17"/>
    <w:rsid w:val="00C82FC7"/>
    <w:rsid w:val="00C841E2"/>
    <w:rsid w:val="00CA1B66"/>
    <w:rsid w:val="00CB1FE0"/>
    <w:rsid w:val="00CB5594"/>
    <w:rsid w:val="00CC30CC"/>
    <w:rsid w:val="00CC3CAC"/>
    <w:rsid w:val="00CD5474"/>
    <w:rsid w:val="00CD640B"/>
    <w:rsid w:val="00CE01BD"/>
    <w:rsid w:val="00CE5719"/>
    <w:rsid w:val="00CE794B"/>
    <w:rsid w:val="00CF0C08"/>
    <w:rsid w:val="00CF51A3"/>
    <w:rsid w:val="00D00C01"/>
    <w:rsid w:val="00D07A47"/>
    <w:rsid w:val="00D14E78"/>
    <w:rsid w:val="00D2169D"/>
    <w:rsid w:val="00D219EF"/>
    <w:rsid w:val="00D21B47"/>
    <w:rsid w:val="00D3382A"/>
    <w:rsid w:val="00D36D4A"/>
    <w:rsid w:val="00D40BE9"/>
    <w:rsid w:val="00D4176E"/>
    <w:rsid w:val="00D45089"/>
    <w:rsid w:val="00D65111"/>
    <w:rsid w:val="00D72F18"/>
    <w:rsid w:val="00D73C86"/>
    <w:rsid w:val="00D75CED"/>
    <w:rsid w:val="00D7659E"/>
    <w:rsid w:val="00D90F83"/>
    <w:rsid w:val="00D974D5"/>
    <w:rsid w:val="00DA1004"/>
    <w:rsid w:val="00DA41D9"/>
    <w:rsid w:val="00DB535D"/>
    <w:rsid w:val="00DB62F5"/>
    <w:rsid w:val="00DC096B"/>
    <w:rsid w:val="00DC28E8"/>
    <w:rsid w:val="00DD04B8"/>
    <w:rsid w:val="00DD7506"/>
    <w:rsid w:val="00DE139D"/>
    <w:rsid w:val="00DE1BF8"/>
    <w:rsid w:val="00DE643A"/>
    <w:rsid w:val="00DE66A5"/>
    <w:rsid w:val="00DF4239"/>
    <w:rsid w:val="00DF5A92"/>
    <w:rsid w:val="00DF71D4"/>
    <w:rsid w:val="00E0496D"/>
    <w:rsid w:val="00E0641D"/>
    <w:rsid w:val="00E07439"/>
    <w:rsid w:val="00E10BC8"/>
    <w:rsid w:val="00E12BAB"/>
    <w:rsid w:val="00E12D5A"/>
    <w:rsid w:val="00E354B8"/>
    <w:rsid w:val="00E46F49"/>
    <w:rsid w:val="00E4722D"/>
    <w:rsid w:val="00E50187"/>
    <w:rsid w:val="00E61BAB"/>
    <w:rsid w:val="00E649D6"/>
    <w:rsid w:val="00E72182"/>
    <w:rsid w:val="00E72A70"/>
    <w:rsid w:val="00E73C88"/>
    <w:rsid w:val="00E86012"/>
    <w:rsid w:val="00EA0F22"/>
    <w:rsid w:val="00EA54E5"/>
    <w:rsid w:val="00EA667C"/>
    <w:rsid w:val="00EA6A18"/>
    <w:rsid w:val="00EB0936"/>
    <w:rsid w:val="00EB60EB"/>
    <w:rsid w:val="00EB6DC5"/>
    <w:rsid w:val="00EB7D74"/>
    <w:rsid w:val="00EC141A"/>
    <w:rsid w:val="00EC3C60"/>
    <w:rsid w:val="00ED337E"/>
    <w:rsid w:val="00ED536A"/>
    <w:rsid w:val="00ED638A"/>
    <w:rsid w:val="00ED6544"/>
    <w:rsid w:val="00ED7EF9"/>
    <w:rsid w:val="00EE0043"/>
    <w:rsid w:val="00EE5E73"/>
    <w:rsid w:val="00EF2AF7"/>
    <w:rsid w:val="00EF324E"/>
    <w:rsid w:val="00EF382A"/>
    <w:rsid w:val="00EF58F0"/>
    <w:rsid w:val="00EF7FDC"/>
    <w:rsid w:val="00F02549"/>
    <w:rsid w:val="00F07747"/>
    <w:rsid w:val="00F17C4F"/>
    <w:rsid w:val="00F24225"/>
    <w:rsid w:val="00F33719"/>
    <w:rsid w:val="00F41843"/>
    <w:rsid w:val="00F43CF4"/>
    <w:rsid w:val="00F6149F"/>
    <w:rsid w:val="00F61ED4"/>
    <w:rsid w:val="00F65C0A"/>
    <w:rsid w:val="00F70A7D"/>
    <w:rsid w:val="00F976AA"/>
    <w:rsid w:val="00FA22D2"/>
    <w:rsid w:val="00FA35D1"/>
    <w:rsid w:val="00FB10D5"/>
    <w:rsid w:val="00FB5D0E"/>
    <w:rsid w:val="00FB73CB"/>
    <w:rsid w:val="00FB7E40"/>
    <w:rsid w:val="00FD376D"/>
    <w:rsid w:val="00FF3854"/>
    <w:rsid w:val="00FF5182"/>
    <w:rsid w:val="00FF65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1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048193">
      <w:marLeft w:val="0"/>
      <w:marRight w:val="0"/>
      <w:marTop w:val="0"/>
      <w:marBottom w:val="0"/>
      <w:divBdr>
        <w:top w:val="none" w:sz="0" w:space="0" w:color="auto"/>
        <w:left w:val="none" w:sz="0" w:space="0" w:color="auto"/>
        <w:bottom w:val="none" w:sz="0" w:space="0" w:color="auto"/>
        <w:right w:val="none" w:sz="0" w:space="0" w:color="auto"/>
      </w:divBdr>
      <w:divsChild>
        <w:div w:id="121048199">
          <w:marLeft w:val="0"/>
          <w:marRight w:val="0"/>
          <w:marTop w:val="0"/>
          <w:marBottom w:val="0"/>
          <w:divBdr>
            <w:top w:val="none" w:sz="0" w:space="0" w:color="auto"/>
            <w:left w:val="none" w:sz="0" w:space="0" w:color="auto"/>
            <w:bottom w:val="none" w:sz="0" w:space="0" w:color="auto"/>
            <w:right w:val="none" w:sz="0" w:space="0" w:color="auto"/>
          </w:divBdr>
          <w:divsChild>
            <w:div w:id="121048197">
              <w:marLeft w:val="0"/>
              <w:marRight w:val="0"/>
              <w:marTop w:val="0"/>
              <w:marBottom w:val="0"/>
              <w:divBdr>
                <w:top w:val="none" w:sz="0" w:space="0" w:color="auto"/>
                <w:left w:val="none" w:sz="0" w:space="0" w:color="auto"/>
                <w:bottom w:val="none" w:sz="0" w:space="0" w:color="auto"/>
                <w:right w:val="none" w:sz="0" w:space="0" w:color="auto"/>
              </w:divBdr>
              <w:divsChild>
                <w:div w:id="121048195">
                  <w:marLeft w:val="0"/>
                  <w:marRight w:val="0"/>
                  <w:marTop w:val="540"/>
                  <w:marBottom w:val="0"/>
                  <w:divBdr>
                    <w:top w:val="none" w:sz="0" w:space="0" w:color="auto"/>
                    <w:left w:val="none" w:sz="0" w:space="0" w:color="auto"/>
                    <w:bottom w:val="none" w:sz="0" w:space="0" w:color="auto"/>
                    <w:right w:val="none" w:sz="0" w:space="0" w:color="auto"/>
                  </w:divBdr>
                  <w:divsChild>
                    <w:div w:id="121048198">
                      <w:marLeft w:val="0"/>
                      <w:marRight w:val="0"/>
                      <w:marTop w:val="0"/>
                      <w:marBottom w:val="0"/>
                      <w:divBdr>
                        <w:top w:val="none" w:sz="0" w:space="0" w:color="auto"/>
                        <w:left w:val="none" w:sz="0" w:space="0" w:color="auto"/>
                        <w:bottom w:val="none" w:sz="0" w:space="0" w:color="auto"/>
                        <w:right w:val="none" w:sz="0" w:space="0" w:color="auto"/>
                      </w:divBdr>
                      <w:divsChild>
                        <w:div w:id="1210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8196">
                  <w:marLeft w:val="0"/>
                  <w:marRight w:val="0"/>
                  <w:marTop w:val="0"/>
                  <w:marBottom w:val="0"/>
                  <w:divBdr>
                    <w:top w:val="none" w:sz="0" w:space="0" w:color="auto"/>
                    <w:left w:val="none" w:sz="0" w:space="0" w:color="auto"/>
                    <w:bottom w:val="none" w:sz="0" w:space="0" w:color="auto"/>
                    <w:right w:val="none" w:sz="0" w:space="0" w:color="auto"/>
                  </w:divBdr>
                  <w:divsChild>
                    <w:div w:id="1210481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574</Words>
  <Characters>3277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给科研人员“松绑”“加油”—四部门负责人就进一步完善中央财政科研项目资金管理等政策答记者问 </dc:title>
  <dc:subject/>
  <dc:creator>鲍卫红</dc:creator>
  <cp:keywords/>
  <dc:description/>
  <cp:lastModifiedBy>S</cp:lastModifiedBy>
  <cp:revision>2</cp:revision>
  <dcterms:created xsi:type="dcterms:W3CDTF">2016-08-18T08:24:00Z</dcterms:created>
  <dcterms:modified xsi:type="dcterms:W3CDTF">2016-08-18T08:24:00Z</dcterms:modified>
</cp:coreProperties>
</file>