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lang w:eastAsia="zh-CN"/>
        </w:rPr>
      </w:pPr>
      <w:r>
        <w:rPr>
          <w:rFonts w:hint="eastAsia"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1</w:t>
      </w:r>
    </w:p>
    <w:p>
      <w:pPr>
        <w:rPr>
          <w:rFonts w:ascii="黑体" w:eastAsia="黑体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方正小标宋简体" w:hAnsi="黑体" w:eastAsia="方正小标宋简体" w:cs="楷体_GB2312"/>
          <w:color w:val="000000"/>
          <w:kern w:val="0"/>
          <w:sz w:val="40"/>
          <w:szCs w:val="40"/>
        </w:rPr>
      </w:pPr>
      <w:r>
        <w:rPr>
          <w:rFonts w:hint="eastAsia" w:ascii="方正小标宋简体" w:hAnsi="黑体" w:eastAsia="方正小标宋简体" w:cs="楷体_GB2312"/>
          <w:color w:val="000000"/>
          <w:kern w:val="0"/>
          <w:sz w:val="40"/>
          <w:szCs w:val="40"/>
          <w:lang w:eastAsia="zh-CN"/>
        </w:rPr>
        <w:t>河南省</w:t>
      </w:r>
      <w:r>
        <w:rPr>
          <w:rFonts w:hint="eastAsia" w:ascii="方正小标宋简体" w:hAnsi="黑体" w:eastAsia="方正小标宋简体" w:cs="楷体_GB2312"/>
          <w:color w:val="000000"/>
          <w:kern w:val="0"/>
          <w:sz w:val="40"/>
          <w:szCs w:val="40"/>
        </w:rPr>
        <w:t>优秀基层教学组织认定标准</w:t>
      </w:r>
    </w:p>
    <w:p>
      <w:pPr>
        <w:autoSpaceDE w:val="0"/>
        <w:autoSpaceDN w:val="0"/>
        <w:adjustRightInd w:val="0"/>
        <w:jc w:val="center"/>
        <w:rPr>
          <w:rFonts w:ascii="楷体_GB2312" w:hAnsi="黑体" w:eastAsia="楷体_GB2312" w:cs="楷体_GB2312"/>
          <w:color w:val="000000"/>
          <w:kern w:val="0"/>
        </w:rPr>
      </w:pPr>
      <w:r>
        <w:rPr>
          <w:rFonts w:hint="eastAsia" w:ascii="楷体_GB2312" w:hAnsi="黑体" w:eastAsia="楷体_GB2312" w:cs="楷体_GB2312"/>
          <w:color w:val="000000"/>
          <w:kern w:val="0"/>
        </w:rPr>
        <w:t>（试行）</w:t>
      </w:r>
    </w:p>
    <w:tbl>
      <w:tblPr>
        <w:tblStyle w:val="3"/>
        <w:tblW w:w="89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09"/>
        <w:gridCol w:w="74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指标内涵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规章制度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具有完善的议事决策、教学组织与管理、教研活动、听课评议、青年教师培养、教学督导、教学质量评价等管理制度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）。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发展目标和年度计划明确具体、可操作性强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队伍建设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坚持立德树人，自觉遵守《高等学校教师职业道德规范》，师德师风良好，获得有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校级以上先进个人等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荣誉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负责人具有高级职称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，教学管理经验丰富，享有额外津贴或减免课时量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；团队规模原则上30人以下，成员年龄、学历、职称、学缘结构合理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；教师传帮带机制健全，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新入职教师均经过20天以上系统培训并配有指导教师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组织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根据人才培养方案和教学计划，组织落实备课、授课、课程设计、实验实习、考试考查、毕业论文或设计等教学环节各项任务，运行有序，档案资料齐全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；课堂教学规范，教学纪律严格，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连续2年无教学事故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；建立有教学评价和质量分析反馈机制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每学年教授为本、专科生上课率100%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课程教材建设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课程体系符合专业发展，有规范的课程建设规划、教学大纲和课程标准，课程内容及时更新，能将最新的学科前沿、产业发展、科研成果融入课堂教学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；编写高质量教材和指导用书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（出版有省部级以上规划教材）（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规划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建设校级以上在线开放课程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，信息化教学资源丰富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教学研究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15分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承担有校级及以上教改项目，参与教师占比达到80%，获得校级以上教学成果奖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；教师人均·学年发表教研论文达0.3篇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；每2周开展1次集体教育教学研究活动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；教师人均</w:t>
            </w:r>
            <w:r>
              <w:rPr>
                <w:rFonts w:hint="cs" w:ascii="仿宋_GB2312" w:hAnsi="宋体"/>
                <w:b/>
                <w:bCs/>
                <w:kern w:val="0"/>
                <w:sz w:val="21"/>
                <w:szCs w:val="21"/>
                <w:cs/>
              </w:rPr>
              <w:t>•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学年</w:t>
            </w:r>
            <w:r>
              <w:rPr>
                <w:rFonts w:ascii="仿宋_GB2312" w:hAnsi="宋体"/>
                <w:b/>
                <w:bCs/>
                <w:kern w:val="0"/>
                <w:sz w:val="21"/>
                <w:szCs w:val="21"/>
              </w:rPr>
              <w:t>8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次以上相互听课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）；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每位专任教师每学年参加1次以上校外教学研讨会议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专业建设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制定或落实专业建设规划，定期修订完善人才培养方案，达到国家各专业类教学质量标准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建设有省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级以上优势特色专业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，专业评估位列前50%或通过专业认证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；行业企业深度参与专业建设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；课程类、实践类等基层教学组织充分发挥在专业评估、专业认证、专业建设中的重要作用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实践教学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科学制定实践教学方案，规范设置实践教学环节，高质量开展课内实践教学和校外实习实训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建设有校级以上实验教学示范中心或虚拟仿真实验教学项目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实验实训课程开课率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学生覆盖率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（6分）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；创新创业教育改革成效显著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（指导大学生创新创业计划训练项目并获得成果）（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条件保障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设有专项经费，教师人均</w:t>
            </w:r>
            <w:r>
              <w:rPr>
                <w:rFonts w:hint="cs" w:ascii="仿宋_GB2312" w:hAnsi="宋体"/>
                <w:kern w:val="0"/>
                <w:sz w:val="21"/>
                <w:szCs w:val="21"/>
                <w:cs/>
              </w:rPr>
              <w:t>•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年度运行经费2000元以上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）。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有固定的办公场所、教学资料档案室和相关办公设施，人均教学办公面积在3平方米以上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人才培养能力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10分</w:t>
            </w:r>
          </w:p>
        </w:tc>
        <w:tc>
          <w:tcPr>
            <w:tcW w:w="7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教师评教优秀，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在省级以上教师讲课大赛成绩优异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</w:rPr>
              <w:t>，指导学生在创新创业大赛、职业技能大赛、学科专业竞赛等赛项获得省级以上奖项或公开发表论文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val="en-US" w:eastAsia="zh-CN"/>
              </w:rPr>
              <w:t>4分</w:t>
            </w:r>
            <w:r>
              <w:rPr>
                <w:rFonts w:hint="eastAsia" w:ascii="仿宋_GB2312" w:hAnsi="宋体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；毕业生就业质量高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val="en-US" w:eastAsia="zh-CN"/>
              </w:rPr>
              <w:t>3分</w:t>
            </w:r>
            <w:r>
              <w:rPr>
                <w:rFonts w:hint="eastAsia" w:ascii="仿宋_GB2312" w:hAnsi="宋体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hAnsi="宋体"/>
                <w:kern w:val="0"/>
                <w:sz w:val="21"/>
                <w:szCs w:val="2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B05EF"/>
    <w:rsid w:val="00E56148"/>
    <w:rsid w:val="05B75DA3"/>
    <w:rsid w:val="14A87EBB"/>
    <w:rsid w:val="47C95090"/>
    <w:rsid w:val="4C3B05EF"/>
    <w:rsid w:val="52BF158A"/>
    <w:rsid w:val="6D535020"/>
    <w:rsid w:val="7E2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60420FIOM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2018-09-28T03:27:00Z</dcterms:created>
  <dc:creator>Administrator</dc:creator>
  <cp:lastModifiedBy>Administrator</cp:lastModifiedBy>
  <cp:lastPrinted>2018-09-29T02:57:45Z</cp:lastPrinted>
  <dcterms:modified xsi:type="dcterms:W3CDTF">2018-09-29T03:39:47Z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